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仿宋_GB2312" w:hAnsi="仿宋_GB2312" w:eastAsia="仿宋_GB2312" w:cs="仿宋_GB2312"/>
          <w:b/>
          <w:sz w:val="30"/>
          <w:szCs w:val="30"/>
          <w:lang w:val="en-US" w:eastAsia="zh-CN"/>
        </w:rPr>
      </w:pPr>
      <w:r>
        <w:rPr>
          <w:rFonts w:hint="eastAsia" w:ascii="仿宋_GB2312" w:hAnsi="仿宋_GB2312" w:eastAsia="仿宋_GB2312" w:cs="仿宋_GB2312"/>
          <w:b/>
          <w:sz w:val="30"/>
          <w:szCs w:val="30"/>
          <w:lang w:val="en-US" w:eastAsia="zh-CN"/>
        </w:rPr>
        <w:t>ZZ005 装配式建筑构件安装赛项赛题第三套</w:t>
      </w: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default" w:cs="IDÑ˛"/>
          <w:kern w:val="0"/>
          <w:sz w:val="30"/>
          <w:szCs w:val="30"/>
          <w:lang w:val="en-US"/>
        </w:rPr>
      </w:pPr>
      <w:r>
        <w:rPr>
          <w:rFonts w:hint="eastAsia" w:ascii="仿宋_GB2312" w:hAnsi="仿宋_GB2312" w:eastAsia="仿宋_GB2312" w:cs="仿宋_GB2312"/>
          <w:b/>
          <w:sz w:val="30"/>
          <w:szCs w:val="30"/>
          <w:lang w:val="en-US" w:eastAsia="zh-CN"/>
        </w:rPr>
        <w:t>模块一理论知识竞赛试卷</w:t>
      </w: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b/>
          <w:bCs/>
          <w:sz w:val="28"/>
          <w:szCs w:val="28"/>
          <w:lang w:val="en-US" w:eastAsia="zh-CN"/>
        </w:rPr>
      </w:pP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一、单项选择题 （共50题，每题1分，计50分）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1.国务院办公厅《关于大力发展装配式建筑的指导意见》的重点任务中提出,统筹建筑结构、机电设备、部品部件、装配施工、装饰装修，推行装配式建筑（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A.深化设计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B.正向设计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C.协同设计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D.一体化集成设计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2.在《“十三五”装配式建筑行动方案》第三节保障措施中建立统计上报制度指出,按照《装配式建筑评价标准》规定，用（ ）作为装配式建筑认定指标。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A.市场占有率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B.材料使用率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C.绿色分配率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D.装配率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3.预制构件安装施工前，应编制专项施工方案，并按设计要求对各工况进行施工验算和（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A.塔吊布置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B.施工技术交底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C.生产技术交底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D.施工场地勘察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4.预制构件生产的通用工艺流程，正确的顺序为：（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A.模台清理——模具组装——钢筋加工安装——管线、预埋件等安装——混凝土浇筑——养护——脱模——表面处理——成品验收——运输存放；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B.模台清理——模具组装——钢筋加工安装——管线、预埋件等安装——混凝土浇筑——养护——脱模——表面处理——运输存放——成品验收；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 模台清理——模具组装——钢筋加工安装——管线、预埋件等安装——混凝土浇筑——养护——表面处理——脱模——成品验收——运输存放；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模台清理——模具组装——混凝土浇筑——钢筋加工安装——管线、预埋件等安装——养护——表面处理——脱模——成品验收——运输存放；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5.《装配式混凝土结构技术规程》JGJ 1-2014规定，吊装时，吊具应按国家现行有关标准的规定进行设计、验算和试验检验。吊具应根据预制构件形状、尺寸及重量等参数进行配置，吊索水平夹角不应小于（ ）度。</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A.30</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B.45</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C.60</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6.装配整体式框架结构中，预制柱水平接缝处不宜出现（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A.拉力</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B.剪力</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C.压力</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D.弯矩</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7.预制墙板模具的侧模设计，首先按照刚度设计，在荷载设计值的作用下，侧模侧弯变形的允许变形值为（）。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A．L/1000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B．L/1500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C．L/2000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D．L/2500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8.下列试验中，哪个试验不是减水剂进场时需要进行的试验（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A.减水率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B.流动度比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C.pH值</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D.密度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9.《混凝土结构工程施工质量验收规范》GB50204-2015规定，后张发预应力筋锚固后，锚具外预应力筋的外露长度不应小于其直径的（ ）倍，且不应小于（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2  10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B.1 10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C.1.5 10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D.1.5 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10.预制叠合板构件在生产时，叠合板浇筑面层的粗糙面，可在混凝土（ ）前进行拉毛处理。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A.终凝</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B.初凝</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C.流动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D.凝固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11.半灌浆套筒在批量使用前，应进行（ ）检验，来确定加工工艺的人员、设备、钢筋等适应性，检验是否符合规范要求，当检验合格后，方可批量生产加工。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A.工艺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B.钢筋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C.模具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D.重量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0" w:name="_Hlk506307585"/>
      <w:r>
        <w:rPr>
          <w:rFonts w:hint="eastAsia" w:ascii="仿宋_GB2312" w:hAnsi="仿宋_GB2312" w:eastAsia="仿宋_GB2312" w:cs="仿宋_GB2312"/>
          <w:sz w:val="28"/>
          <w:szCs w:val="28"/>
          <w:lang w:val="en-US" w:eastAsia="zh-CN"/>
        </w:rPr>
        <w:t>12.编号为WQC1</w:t>
      </w:r>
      <w:bookmarkEnd w:id="0"/>
      <w:r>
        <w:rPr>
          <w:rFonts w:hint="eastAsia" w:ascii="仿宋_GB2312" w:hAnsi="仿宋_GB2312" w:eastAsia="仿宋_GB2312" w:cs="仿宋_GB2312"/>
          <w:sz w:val="28"/>
          <w:szCs w:val="28"/>
          <w:lang w:val="en-US" w:eastAsia="zh-CN"/>
        </w:rPr>
        <w:t>-3028-1514的内叶墙板，其含义为（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A.预制内叶墙板类型为一个窗洞矮窗台外墙，标志宽度3000mm，层高2800mm，窗宽1500mm，窗高1400mm。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B.预制内叶墙板类型为一个窗洞高窗台外墙，标志宽度3000mm，层高2800mm，窗宽1500mm，窗高1400mm。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C.预制内叶墙板类型为一个窗洞高窗台外墙，层高3000mm，标志宽度2800mm，窗宽1500mm，窗高1400mm。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D.预制内叶墙板类型为一个窗洞高窗台外墙，标志宽度3000mm，层高2800mm，窗高1500mm，窗宽1400mm。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13.剪力墙平面布置图中，图例“</w:t>
      </w:r>
      <w:r>
        <w:rPr>
          <w:rFonts w:hint="eastAsia" w:ascii="仿宋_GB2312" w:hAnsi="仿宋_GB2312" w:eastAsia="仿宋_GB2312" w:cs="仿宋_GB2312"/>
          <w:sz w:val="28"/>
          <w:szCs w:val="28"/>
          <w:lang w:val="en-US" w:eastAsia="zh-CN"/>
        </w:rPr>
        <w:drawing>
          <wp:inline distT="0" distB="0" distL="114300" distR="114300">
            <wp:extent cx="381000" cy="1524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381000" cy="15240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”表示（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A.保温层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B.预制钢筋混凝土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C.现浇钢筋混凝土墙体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D.后浇段、边缘构件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14.预制构件生产单位应具备保证产品质量要求的（  ），建立完善的质量管理体系和制度，并宜建立质量可追溯的信息化管理系统。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A.生产工艺设施、实验检测条件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B.生产人员配置、技术操作标准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C.生产实施经验、生产组织架构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D.生产工艺设施、技术操作标准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15.编号为JT-28-25的楼梯，其含义为（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A.预制混凝土板式剪刀楼梯，建筑层高2500mm、楼梯间净宽2800mm。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B.预制混凝土板式剪刀楼梯，建筑层高2800mm、楼梯间净宽2500mm。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C.预制混凝土板式双跑楼梯，建筑层高2800mm、楼梯间净宽2500mm。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D.预制混凝土板式单跑楼梯，建筑层高2800mm、楼梯间净宽2500mm。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16.模具组装时其中梯段、板的高（厚）度尺寸允许偏差为（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B.+1，-1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C.+2，-3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17.绑扎板筋时采用顺扣或八字扣，该板为双向、双层钢筋，两层之间须加钢筋马凳以确保上部钢筋的位置，马凳成（ ）布置，所有钢筋每个相交点均要绑扎。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A.之字形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梅花型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C.十字型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D.一字型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18.为保证套筒内灌浆料对钢筋的锚固能力，灌浆套筒灌浆连接端钢筋锚固长度不宜小于（D）倍钢筋直径。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B.6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19.预制墙板混凝土用砂一般以（ ）为宜。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A.粗砂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B.中砂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C.中、粗砂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D.细沙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20.预制叠合楼板采用拉毛处理方法时应在混凝土达到（ ）完成。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初凝前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初凝后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终凝前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终凝后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21.预制混凝土楼梯的合模顺序一般为（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A.合侧板—上部小侧板—合背板—锁紧拉杆。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B.合背板—锁紧拉杆—合侧板—上部小侧板。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C.合侧板—锁紧拉杆—合背板—上部小侧板。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D.合背板—上部小侧板—合侧板—锁紧拉杆。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22.下列哪个符号是常用的断面图的剖切符号（A）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641350" cy="342900"/>
            <wp:effectExtent l="0" t="0" r="6350" b="0"/>
            <wp:docPr id="7" name="图片 2"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wps6"/>
                    <pic:cNvPicPr>
                      <a:picLocks noChangeAspect="1"/>
                    </pic:cNvPicPr>
                  </pic:nvPicPr>
                  <pic:blipFill>
                    <a:blip r:embed="rId5"/>
                    <a:stretch>
                      <a:fillRect/>
                    </a:stretch>
                  </pic:blipFill>
                  <pic:spPr>
                    <a:xfrm>
                      <a:off x="0" y="0"/>
                      <a:ext cx="641350" cy="34290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B.</w:t>
      </w:r>
      <w:r>
        <w:rPr>
          <w:rFonts w:hint="eastAsia" w:ascii="仿宋_GB2312" w:hAnsi="仿宋_GB2312" w:eastAsia="仿宋_GB2312" w:cs="仿宋_GB2312"/>
          <w:sz w:val="28"/>
          <w:szCs w:val="28"/>
          <w:lang w:val="en-US" w:eastAsia="zh-CN"/>
        </w:rPr>
        <w:drawing>
          <wp:inline distT="0" distB="0" distL="114300" distR="114300">
            <wp:extent cx="571500" cy="381000"/>
            <wp:effectExtent l="0" t="0" r="0" b="0"/>
            <wp:docPr id="3" name="图片 3"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ps7"/>
                    <pic:cNvPicPr>
                      <a:picLocks noChangeAspect="1"/>
                    </pic:cNvPicPr>
                  </pic:nvPicPr>
                  <pic:blipFill>
                    <a:blip r:embed="rId6"/>
                    <a:stretch>
                      <a:fillRect/>
                    </a:stretch>
                  </pic:blipFill>
                  <pic:spPr>
                    <a:xfrm>
                      <a:off x="0" y="0"/>
                      <a:ext cx="571500" cy="381000"/>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C.-1-1             D.2---2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23.夹芯保温外墙板采取蒸汽养护时，养护温度不宜大于(  )℃，以防止保温材料变形造成对构件的破坏。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A.30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B.40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C.50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D.60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24.脱模过程中，高宽比大于（ ）以上的大型预制构件，应边脱模边加支撑避免预制构件倾倒。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2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2.5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3.5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25照片中竖向控制线有何作用（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anchor distT="0" distB="0" distL="114300" distR="114300" simplePos="0" relativeHeight="251659264" behindDoc="0" locked="0" layoutInCell="1" allowOverlap="0">
            <wp:simplePos x="0" y="0"/>
            <wp:positionH relativeFrom="column">
              <wp:posOffset>2994025</wp:posOffset>
            </wp:positionH>
            <wp:positionV relativeFrom="line">
              <wp:posOffset>2540</wp:posOffset>
            </wp:positionV>
            <wp:extent cx="1276350" cy="1104900"/>
            <wp:effectExtent l="0" t="0" r="0" b="0"/>
            <wp:wrapSquare wrapText="bothSides"/>
            <wp:docPr id="6" name="图片 2" descr="wp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wps8"/>
                    <pic:cNvPicPr>
                      <a:picLocks noChangeAspect="1"/>
                    </pic:cNvPicPr>
                  </pic:nvPicPr>
                  <pic:blipFill>
                    <a:blip r:embed="rId7"/>
                    <a:stretch>
                      <a:fillRect/>
                    </a:stretch>
                  </pic:blipFill>
                  <pic:spPr>
                    <a:xfrm>
                      <a:off x="0" y="0"/>
                      <a:ext cx="1276350" cy="1104900"/>
                    </a:xfrm>
                    <a:prstGeom prst="rect">
                      <a:avLst/>
                    </a:prstGeom>
                    <a:noFill/>
                    <a:ln>
                      <a:noFill/>
                    </a:ln>
                  </pic:spPr>
                </pic:pic>
              </a:graphicData>
            </a:graphic>
          </wp:anchor>
        </w:drawing>
      </w:r>
      <w:r>
        <w:rPr>
          <w:rFonts w:hint="eastAsia" w:ascii="仿宋_GB2312" w:hAnsi="仿宋_GB2312" w:eastAsia="仿宋_GB2312" w:cs="仿宋_GB2312"/>
          <w:sz w:val="28"/>
          <w:szCs w:val="28"/>
          <w:lang w:val="en-US" w:eastAsia="zh-CN"/>
        </w:rPr>
        <w:t>A.控制洞口位置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B.控制悬挑构件左右位置线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C.控制墙体位置控制线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D.控制外门窗位置控制线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26.水平角观测所使用的全站仪、电子经纬仪和光学经纬仪，其光学（或激光）对中器的视轴与竖轴的重合度不应大于（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27.施工前，应由（  ）组织设计、施工、监理等单位对设计文件进行交底和会审。由施工单位完成的深化设计文件应经原设计单位确认。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A.勘察单位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B.施工单位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C.监理单位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D.建设单位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28.采用临时支撑时，对预制墙板的斜撑，其支撑点距离板底的距离不宜小于板高的（），且不应小于板高的（）。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A.4/5,2/3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B.2/3,1/2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C.2/3,1/4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D.1/2,1/3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29.预制构件验收合格后，应在明显的部位标识构件型号、生产日期、质量验收合格标志和（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A.材料标识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B.生产厂家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C.二维码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D.验收人员姓名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30.结合部位或接缝处混凝土施工，由于操作面的限制，不便于混凝土的振捣密实时，宜采用（ ），并应符合国家现行有关标准的规定。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A.微膨胀混凝土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B.自密实混凝土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C.细石混凝土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D.高强混凝土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31.《钢筋套筒灌浆连接应用技术规程》JGJ 355-2015中规定竖向构件宜采用联通腔灌浆，连通灌浆区域内任意两个管将套筒间距不宜超过（ ）m。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32.灌浆施工时，每个工作班应检查灌浆料拌和物初始流动不少于（ ）次，确认合格后，方可灌浆。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A.4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C.2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33. 制叠合板进场后应堆放于地面平坦处，堆放场地应平整夯实，并（ ）堆放时底板与地面之间应有一定的空隙。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A.保证地面清洁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B.保证足够的空间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C.设有排水措施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D.叠加式摆放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34.以下叙述不正确的是(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A.预制外挂墙板吊装应沿顺时针或逆时针顺序依次吊装，不得间隔吊装。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B.工序检验到位，工序质量控制必须做到有可追溯性。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C.吊装前准备工作充分到位，做好班前安全技术交底，明确吊装顺序。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外挂墙板就位时对准定位线，宜一次就位，如就位偏差大于5mm，应将构件重新吊起调整，构件就位后，用靠尺、水平尺、激光水平仪等检查预制外挂墙板和板立缝的垂直度，并检查相邻两块板接缝是否平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35.预制楼板在出场质量检测时其中长度允许偏差范围正确的是：（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A.构件＜12m,允许偏差为±4mm；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B.构件≥12m且构件＜18m，允许偏差±15mm；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C.构件≥18m允许偏差为±20mm。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D.构件＜12m,允许偏差为±10mm；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36.塔吊司机在（ ）指挥下，塔吊缓缓持力，将预制外挂墙板由倾斜状态到竖直状态，当预制外挂墙板吊离存放架，快速运至预制外挂墙板安装施工层。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A.司索工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B.信号工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C.模板工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D.钢筋工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37.当预制外挂墙板吊运至安装位置时，根据楼面上的预制外挂墙板的定位线，将预制外挂墙板缓缓下降就位，预制外挂墙板就位时，应以（ ）为准，做到外墙面顺直，墙身垂直，缝隙一致，企口缝不得错位，防止挤压偏腔。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A.外墙中线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B.外墙边线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C.外墙内边线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D.外墙轴线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38.起重高度H是指（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A.吊钩到地面的垂直距离</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B.塔顶到停机地面的垂直距离</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C.操作室到停机地面的垂直距离</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D.吊钩到停机地面的垂直距离</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39.关于预制剪力墙、柱的校正叙述不正确的是（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A.吊装工根据已弹好的预制剪力墙、柱的安装控制线和标高线，用2m长靠尺、吊线锤检查预制剪力墙、柱的平整度;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B.通过可调斜支撑微调预制剪力墙的垂直度;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C.预制剪力墙、柱安装施工时应边安装边校正;</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D.通过可调斜支撑微调预制柱的垂直度;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40. 套筒接头一端采用灌浆方式连接，另一端采用非灌浆方式（通常采用螺纹连接）连接钢筋，这种灌浆套筒为（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41. 镦粗直螺纹灌浆套筒的结构形式分类代号为（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A.G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C.B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D.Q</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42.套筒接头两端均采用灌浆方式连接钢筋，这种灌浆套筒为（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43.安装预制墙板、预制柱等竖向构件时，应采用可调（ ）临时固定；支撑的位置应避免与模板支架、相邻支撑冲突。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A.横支撑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B.竖支撑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C.斜支撑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D.剪刀撑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44.叠合构件上一层混凝土剪力墙吊装施工，应在剪力墙锚固的叠合构件后浇层混凝土达到( )后进行。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A.1.2MPa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B.2.5MPa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C.设计强度的30%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D.足够强度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45.下图中柔性垫片的作用表述不正确的（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inline distT="0" distB="0" distL="114300" distR="114300">
            <wp:extent cx="1314450" cy="787400"/>
            <wp:effectExtent l="0" t="0" r="0" b="12700"/>
            <wp:docPr id="8" name="图片 4" descr="wps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wps14"/>
                    <pic:cNvPicPr>
                      <a:picLocks noChangeAspect="1"/>
                    </pic:cNvPicPr>
                  </pic:nvPicPr>
                  <pic:blipFill>
                    <a:blip r:embed="rId8"/>
                    <a:stretch>
                      <a:fillRect/>
                    </a:stretch>
                  </pic:blipFill>
                  <pic:spPr>
                    <a:xfrm>
                      <a:off x="0" y="0"/>
                      <a:ext cx="1314450" cy="787400"/>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A.不起作用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B.防止坐浆料进入灌浆套筒内部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C.防止灌浆料流出套筒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D.确保套筒内部浆料的饱满度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46.预制板安装完毕后，其底面标高用（ ）检查。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A.经纬仪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B.水准仪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C.垂线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D.塞尺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47.GTJB536/32A表示（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A.采用机械加工方式加工的剥肋滚轧直螺纹灌浆套筒，第一次变型，连接 标准屈服强度为500MPa钢筋，灌浆端连接直径32mm的钢筋，非灌浆端连接直径36mm的钢筋。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B.采用机械加工方式加工的剥肋滚轧直螺纹灌浆套筒，第一次变型，连接 标准屈服强度为500MPa钢筋，灌浆端连接直径36mm的钢筋，非灌浆端连接直径32mm的钢筋。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C.采用铸造加工的剥肋滚轧直螺纹灌浆套筒，第一次变型，连接标准屈服 强度为500MPa钢筋，灌浆端连接直径36mm的钢筋，非灌浆端连接直径32mm的钢筋。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D.采用机械加工方式加工的剥肋滚轧直螺纹灌浆套筒，第一次变型，连接 标准抗拉强度为500MPa钢筋，灌浆端连接直径36mm的钢筋，非灌浆端连接直径32mm的钢筋。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48.预制构件模具组装完毕后，检测对角线差允许偏差为（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49.预留钢筋定位精度对( )有重要影响。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A.钢筋连接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B.预制构件安装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C.混凝土浇筑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D.模板支设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50.以下不符合预制构件吊装规定的是（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A.应根据当天的作业内容进行班前技术安全交底。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B.预制构件应按照吊装顺序预先编号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C.预制构件吊装时不需按编号顺序起吊。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D.预制构件在吊装过程，宜设置缆风绳控制构件转动。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二、多项选择题（共15题，每题2分，计30分。其中5个备选项中包含2个及以上正确答案，错选、多选、漏选均不得分）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 预制钢筋混凝土楼梯是将楼梯分成（   ）和（   ）两部分。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A.踏步板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B.踢脚板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C.休息平台板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D.栏杆扶手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E.楼梯段</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2.普通混凝土配合比设计的基本要求为（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A.满足强度要求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B.满足混凝土抗裂要求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C.满足和易性要求</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 xml:space="preserve">D.满足耐久性要求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E.降低成本</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 预制混凝土楼板拉毛操作时间应根据（  ）等因素综合把控，过早拉毛会导致粗糙度降低，过晚会导致拉毛困难甚至影响混凝土表面强度。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A.混凝土配合比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B.混凝土强度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C.气温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D.空气湿度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E.模板用途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4.根据标准图集《预制混凝土剪力墙外墙板》（15G365-1）中夹心墙板模板图中的主视图，可知墙板的哪些相关尺寸（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A.墙板长度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B.墙板高度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C.窗孔的长和宽度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D.墙板厚度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E.窗孔四边距离墙板间的尺寸</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5.叠合板模具的边模可分为固定式边模和（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A.钢板边模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B.橡胶边摸</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C.通长边模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D.角钢边模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E.槽钢边模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6.下列说法正确的是（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A.预制构件脱模起吊时，应根据设计要求或具体生产条件确定所需的混凝土立方体抗压强度。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B.垫木或垫块在构件下的位置宜与脱模、吊装时的起吊位置一致；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C.重叠堆放构件时，每层构件间的垫木或垫块应在同一垂直线上；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D.堆垛层数应根据构件与垫木或垫块的承载能力及堆垛的稳定性确定；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E.堆放构件时最下层构件应垫实，预埋吊件向下，标志向外。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7.监理单位对套筒灌浆连接施工中，应进行（）验收。（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A.灌浆套筒进厂(场)外观质量、标识和尺寸偏差检验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B.灌浆套筒进厂(场)接头力学性能检验，部分检验可与工艺检验合并进行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C.预制构件进厂验收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D.灌浆安全检验</w:t>
      </w:r>
    </w:p>
    <w:p>
      <w:pPr>
        <w:pStyle w:val="23"/>
        <w:numPr>
          <w:ilvl w:val="0"/>
          <w:numId w:val="0"/>
        </w:numPr>
        <w:tabs>
          <w:tab w:val="left" w:pos="315"/>
          <w:tab w:val="left" w:pos="4200"/>
          <w:tab w:val="left" w:pos="6090"/>
        </w:tabs>
        <w:snapToGrid w:val="0"/>
        <w:spacing w:line="300" w:lineRule="auto"/>
        <w:ind w:leftChars="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E.无需验收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8.依据《钢筋套筒灌浆连接应用技术规程》JGJ355－2015中5.0.3条，每种套筒灌浆连接接头型式检验的试件数量与检测项目应符合规定，说法不正确的是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A.对中接头试件应为9个，其中3个做单向拉伸试验、3个做高应力反复拉压试验、3个做大变形反复拉压试验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B.偏置接头试件应为3个，做单向拉伸试验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C.钢筋试件应为9个，做单向拉伸试验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D.全部试件的钢筋均应在同宜炉(批)号的1根或2根钢筋上截取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E.钢筋试件应为3个，做双向拉伸试验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9.预制构件验收合格后，应在明显的部位标识（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A.构件型号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B.生产日期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C.质量验收合格标志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D.粘贴二维码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E.验收人员姓名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10.预制墙板的混凝土制作准备工作，水泥进场时必须对（  ）进行检查。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A.出厂合格证和试验报告单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B.出厂合格证或试验报告单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C.水泥品种、级别、包装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D.散装水泥的仓号、出厂日期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E.散装水泥的仓号、出仓日期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11.下列关于钢筋套筒连接抗拉强度检验试验方法说法正确的是（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A.每一检验批需在构件加工厂选取3个有代表性的接头试件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B.每一检验批需在构件加工厂选取6个有代表性的接头试件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C.每一检验批需在构件加工厂选取9个有代表性的接头试件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D.抗拉强度试验，应按现行行业标准《钢筋机械连接技术规程》JGJ107中Ⅰ级接头的要求进行评定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E.每一检验批需在构件加工厂选取9个有代表性的接头试件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 墙板养护要求叙述正确的是（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A.预制构件脱模后可继续养护，养护可采用水养、洒水、覆盖和喷涂养护剂等一种；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B.预制构件脱模后可继续养护，养护可采用水养、洒水、覆盖和喷涂养护剂等几种相结合的方式；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C.水养和洒水养护的养护用水应使用回收水；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D.水中养护应避免预制构件与养护池水有过大的温差；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E.洒水养护次数以能保持构件处于润湿状态为度，且不宜采用不加覆盖仅靠构件表面洒水的养护方法。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13.半灌浆套筒连接钢筋的直螺纹丝头加工(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A.丝头参数应满足厂家提供的作业指导书规定要求；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B.使用螺纹环规检查钢筋丝头螺纹直径；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C.环规通端丝头应能顺利旋入，止端丝头旋入量不能超过3P（P为丝头螺距）；</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D.目测丝头牙型，不完整牙累计不得超过2圈。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E.操作者80%自检，合格的报验，不合格的切掉重新加工。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 堆放预应力预制构件时，应该根据预制构件（ ）采取相应的措施。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A.起拱值的大小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B.板面弯曲度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C.堆放时间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D.预制构件种类</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E.预制构件的大小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 预制构件需要采用水平码放储存和运输的有（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A.叠合板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B.墙板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C.楼梯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D.梁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E.柱</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三、判断题（共20题，每题1分，计20分）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1.装配式混凝土预制外挂板吊装时，在完成垂直度、标高的调整之后才能拆除斜支撑。(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2.施工安全保证措施包括:组织保障措施、技术措施、文明施工等。(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3.预制构件吊装前的质量检查中，当设计无具体要求时，大型构件(大孔洞梁、屋架)要达到混凝土设计强度的75%。(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4.预制楼梯的安装过程中，预制楼梯上下必须都与平台板锚固连接。(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5.采用连通腔灌浆方式时，灌浆施工前应对各连通灌浆区域进行封堵，且封堵材料不应减小结合面的设计面积。(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6.预制构件与后浇混凝土的结合面或叠合面应按设计要求制成粗糙面和键槽。(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7.装配式混凝土预制楼梯吊装时,采用滑动支座,楼梯直接搁置在梁上,不需要支撑。(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8.装配式混凝土预制柱临时支撑在灌浆之后就可拆除。(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9.构件安装过程中的临时固定和支撑措施应可靠，并满足强度、刚度、稳定性要求。(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10.水平角观测的方法有测回法、方向观测法两种形式。（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11.灌浆料拌合物应在制备后 30min内用完。(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12.水平构件吊装应采用慢起、快升、缓放的操作方式。(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13.钢筋套筒灌浆连接应用于装配式混凝土结构中竖向构件钢筋对接时，钢筋灌浆套筒在竖向预制构件顶部时，连接时在灌浆套筒中插入带肋钢筋后注入灌浆料拌合物。(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14.通过套筒灌浆连接的连接钢筋可在预制剪力墙中通长设置。(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15.接头一端采用灌浆方式连接，另一端采用非灌浆方式连接钢筋的灌浆套筒，通常另一端采用螺纹连接。一般用于预制墙、柱主筋的连接。(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16.高差起伏较大地区，进行高差闭合差调整时通常按测站数进行改正。(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17.预制构件生产的质量检验应按模具、钢筋、混凝土、预应力、预制构件等检验进行。（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18.将水泥基灌浆材料倒入截锥圆模内，直至浆体与截锥圆模上口持平；徐徐提前截锥圆模，让浆体在无扰动的条件下自由流动直至停止。(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19.钢筋套筒连接接头的屈服强度不应小于连接钢筋屈服强度标准值。（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20.预制混凝土楼梯与支承构件之间宜采用固定端连接。(    )</w:t>
      </w: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both"/>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模块二任务一吊</w:t>
      </w:r>
      <w:r>
        <w:rPr>
          <w:rFonts w:hint="eastAsia" w:ascii="仿宋_GB2312" w:hAnsi="仿宋_GB2312" w:eastAsia="仿宋_GB2312" w:cs="仿宋_GB2312"/>
          <w:b/>
          <w:sz w:val="30"/>
          <w:szCs w:val="30"/>
        </w:rPr>
        <w:t>装</w:t>
      </w:r>
      <w:r>
        <w:rPr>
          <w:rFonts w:hint="eastAsia" w:ascii="仿宋_GB2312" w:hAnsi="仿宋_GB2312" w:eastAsia="仿宋_GB2312" w:cs="仿宋_GB2312"/>
          <w:b/>
          <w:kern w:val="0"/>
          <w:sz w:val="30"/>
          <w:szCs w:val="30"/>
        </w:rPr>
        <w:t>环节任务书</w:t>
      </w:r>
    </w:p>
    <w:p>
      <w:pPr>
        <w:pStyle w:val="14"/>
        <w:jc w:val="right"/>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szCs w:val="28"/>
          <w:lang w:val="en-US" w:eastAsia="zh-CN"/>
        </w:rPr>
      </w:pPr>
      <w:r>
        <w:rPr>
          <w:rFonts w:hint="eastAsia" w:ascii="仿宋_GB2312" w:hAnsi="仿宋_GB2312" w:eastAsia="仿宋_GB2312" w:cs="仿宋_GB2312"/>
          <w:szCs w:val="28"/>
        </w:rPr>
        <w:t>1、本竞赛环节为</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1个老师2个学生）</w:t>
      </w:r>
      <w:r>
        <w:rPr>
          <w:rFonts w:hint="eastAsia" w:ascii="仿宋_GB2312" w:hAnsi="仿宋_GB2312" w:eastAsia="仿宋_GB2312" w:cs="仿宋_GB2312"/>
          <w:szCs w:val="28"/>
        </w:rPr>
        <w:t>合作竞技项目，</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 xml:space="preserve">人合作完成 </w:t>
      </w:r>
      <w:r>
        <w:rPr>
          <w:rFonts w:hint="eastAsia" w:ascii="仿宋_GB2312" w:hAnsi="仿宋_GB2312" w:eastAsia="仿宋_GB2312" w:cs="仿宋_GB2312"/>
          <w:szCs w:val="28"/>
          <w:lang w:val="en-US" w:eastAsia="zh-CN"/>
        </w:rPr>
        <w:t>“建筑装配式构件吊装”，分值为</w:t>
      </w:r>
      <w:r>
        <w:rPr>
          <w:rFonts w:hint="eastAsia" w:ascii="仿宋_GB2312" w:hAnsi="仿宋_GB2312" w:eastAsia="仿宋_GB2312" w:cs="仿宋_GB2312"/>
          <w:szCs w:val="28"/>
        </w:rPr>
        <w:t>100分</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该</w:t>
      </w:r>
      <w:r>
        <w:rPr>
          <w:rFonts w:hint="eastAsia" w:ascii="仿宋_GB2312" w:hAnsi="仿宋_GB2312" w:eastAsia="仿宋_GB2312" w:cs="仿宋_GB2312"/>
          <w:szCs w:val="28"/>
        </w:rPr>
        <w:t>环节加权系数</w:t>
      </w:r>
      <w:r>
        <w:rPr>
          <w:rFonts w:hint="eastAsia" w:ascii="仿宋_GB2312" w:hAnsi="仿宋_GB2312" w:eastAsia="仿宋_GB2312" w:cs="仿宋_GB2312"/>
          <w:szCs w:val="28"/>
          <w:lang w:val="en-US" w:eastAsia="zh-CN"/>
        </w:rPr>
        <w:t>为0.45.</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2"/>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w:t>
      </w:r>
    </w:p>
    <w:p>
      <w:pPr>
        <w:keepNext w:val="0"/>
        <w:keepLines w:val="0"/>
        <w:widowControl/>
        <w:numPr>
          <w:ilvl w:val="0"/>
          <w:numId w:val="0"/>
        </w:numPr>
        <w:suppressLineNumbers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6628765" cy="3491230"/>
            <wp:effectExtent l="0" t="0" r="63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rcRect l="14215" r="14513" b="6088"/>
                    <a:stretch>
                      <a:fillRect/>
                    </a:stretch>
                  </pic:blipFill>
                  <pic:spPr>
                    <a:xfrm>
                      <a:off x="0" y="0"/>
                      <a:ext cx="6628765" cy="3491230"/>
                    </a:xfrm>
                    <a:prstGeom prst="rect">
                      <a:avLst/>
                    </a:prstGeom>
                    <a:noFill/>
                    <a:ln>
                      <a:noFill/>
                    </a:ln>
                  </pic:spPr>
                </pic:pic>
              </a:graphicData>
            </a:graphic>
          </wp:inline>
        </w:drawing>
      </w:r>
    </w:p>
    <w:p>
      <w:pPr>
        <w:keepNext w:val="0"/>
        <w:keepLines w:val="0"/>
        <w:widowControl/>
        <w:numPr>
          <w:ilvl w:val="0"/>
          <w:numId w:val="0"/>
        </w:numPr>
        <w:suppressLineNumbers w:val="0"/>
        <w:ind w:firstLine="1476" w:firstLineChars="700"/>
        <w:jc w:val="left"/>
        <w:rPr>
          <w:rFonts w:hint="eastAsia" w:ascii="仿宋_GB2312" w:hAnsi="仿宋_GB2312" w:eastAsia="仿宋_GB2312" w:cs="仿宋_GB2312"/>
          <w:b/>
          <w:bCs/>
          <w:color w:val="auto"/>
          <w:u w:val="single"/>
          <w:lang w:eastAsia="zh-CN"/>
        </w:rPr>
      </w:pPr>
    </w:p>
    <w:p>
      <w:pPr>
        <w:keepNext w:val="0"/>
        <w:keepLines w:val="0"/>
        <w:widowControl/>
        <w:numPr>
          <w:ilvl w:val="0"/>
          <w:numId w:val="3"/>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工位示意图中墙板材料存放区存放多块预制板材，选手按图示要求选剪力墙板按《规范》吊装并安装如下图所示，并对角柱进行模板安装。</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YNQ-01要求：砼强度C35;连接方式灌浆套筒连接；构件尺寸1000x1250x200,（长x高x厚）。</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YNQ-02要求：砼强度C35;连接方式灌浆套筒连接；构件尺寸1000x1250x200,（长x高x厚）。</w:t>
      </w:r>
    </w:p>
    <w:p>
      <w:pPr>
        <w:keepNext w:val="0"/>
        <w:keepLines w:val="0"/>
        <w:widowControl/>
        <w:numPr>
          <w:ilvl w:val="0"/>
          <w:numId w:val="0"/>
        </w:numPr>
        <w:suppressLineNumbers w:val="0"/>
        <w:ind w:firstLine="420"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6391275" cy="2549525"/>
            <wp:effectExtent l="0" t="0" r="9525"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rcRect t="4470" r="3158"/>
                    <a:stretch>
                      <a:fillRect/>
                    </a:stretch>
                  </pic:blipFill>
                  <pic:spPr>
                    <a:xfrm>
                      <a:off x="0" y="0"/>
                      <a:ext cx="6391275" cy="2549525"/>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吊装施工前，应对已完成结构的强度、外观质量、尺寸进行检查；并应对预制构件的砼强度及预制构件和配件的型号、规格、数量等进行检查；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2、吊装施工前，应清洁接合面，并进行测量放线，设置构件安装定位标识；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3、吊装施工前，应复核构件装配位置、节点连接构造及临时支撑方案等；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5、预制构件安装前，构件底部应设置可调整接缝厚度和底部标高的垫块；</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7、选手确认提前完成、申请离场，在完成全部任务要求的前提下现场裁判确认提前完成时间量。未全部完成任务而提前离场的不计算时间提前量。</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bookmarkStart w:id="1" w:name="_GoBack"/>
      <w:bookmarkEnd w:id="1"/>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模块二任务二灌浆</w:t>
      </w:r>
      <w:r>
        <w:rPr>
          <w:rFonts w:hint="eastAsia" w:ascii="仿宋_GB2312" w:hAnsi="仿宋_GB2312" w:eastAsia="仿宋_GB2312" w:cs="仿宋_GB2312"/>
          <w:b/>
          <w:kern w:val="0"/>
          <w:sz w:val="30"/>
          <w:szCs w:val="30"/>
        </w:rPr>
        <w:t>节任务书</w:t>
      </w:r>
    </w:p>
    <w:p>
      <w:pPr>
        <w:pStyle w:val="14"/>
        <w:jc w:val="right"/>
        <w:rPr>
          <w:rFonts w:hint="eastAsia" w:ascii="仿宋_GB2312" w:hAnsi="仿宋_GB2312" w:eastAsia="仿宋_GB2312" w:cs="仿宋_GB2312"/>
          <w:szCs w:val="28"/>
        </w:rPr>
      </w:pPr>
      <w:r>
        <w:rPr>
          <w:rFonts w:hint="eastAsia" w:ascii="仿宋_GB2312" w:hAnsi="仿宋_GB2312" w:eastAsia="仿宋_GB2312" w:cs="仿宋_GB2312"/>
          <w:kern w:val="0"/>
          <w:szCs w:val="28"/>
        </w:rPr>
        <w:t>工位号：____________</w:t>
      </w:r>
    </w:p>
    <w:p>
      <w:pPr>
        <w:pStyle w:val="14"/>
        <w:ind w:firstLine="560" w:firstLineChars="200"/>
        <w:rPr>
          <w:rFonts w:hint="eastAsia" w:ascii="仿宋_GB2312" w:hAnsi="仿宋_GB2312" w:eastAsia="仿宋_GB2312" w:cs="仿宋_GB2312"/>
          <w:b/>
          <w:szCs w:val="28"/>
        </w:rPr>
      </w:pPr>
      <w:r>
        <w:rPr>
          <w:rFonts w:hint="eastAsia" w:ascii="仿宋_GB2312" w:hAnsi="仿宋_GB2312" w:eastAsia="仿宋_GB2312" w:cs="仿宋_GB2312"/>
          <w:szCs w:val="28"/>
        </w:rPr>
        <w:t xml:space="preserve">  </w:t>
      </w:r>
      <w:r>
        <w:rPr>
          <w:rFonts w:hint="eastAsia" w:ascii="仿宋_GB2312" w:hAnsi="仿宋_GB2312" w:eastAsia="仿宋_GB2312" w:cs="仿宋_GB2312"/>
          <w:szCs w:val="28"/>
          <w:lang w:val="en-US" w:eastAsia="zh-CN"/>
        </w:rPr>
        <w:t xml:space="preserve"> </w:t>
      </w:r>
      <w:r>
        <w:rPr>
          <w:rFonts w:hint="eastAsia" w:ascii="仿宋_GB2312" w:hAnsi="仿宋_GB2312" w:eastAsia="仿宋_GB2312" w:cs="仿宋_GB2312"/>
          <w:szCs w:val="28"/>
        </w:rPr>
        <w:t xml:space="preserve"> </w:t>
      </w: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1、本竞赛环节为</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1个老师2个学生）</w:t>
      </w:r>
      <w:r>
        <w:rPr>
          <w:rFonts w:hint="eastAsia" w:ascii="仿宋_GB2312" w:hAnsi="仿宋_GB2312" w:eastAsia="仿宋_GB2312" w:cs="仿宋_GB2312"/>
          <w:szCs w:val="28"/>
        </w:rPr>
        <w:t>合作竞技项目，</w:t>
      </w:r>
      <w:r>
        <w:rPr>
          <w:rFonts w:hint="eastAsia" w:ascii="仿宋_GB2312" w:hAnsi="仿宋_GB2312" w:eastAsia="仿宋_GB2312" w:cs="仿宋_GB2312"/>
          <w:szCs w:val="28"/>
          <w:lang w:val="en-US" w:eastAsia="zh-CN"/>
        </w:rPr>
        <w:t>3</w:t>
      </w:r>
      <w:r>
        <w:rPr>
          <w:rFonts w:hint="eastAsia" w:ascii="仿宋_GB2312" w:hAnsi="仿宋_GB2312" w:eastAsia="仿宋_GB2312" w:cs="仿宋_GB2312"/>
          <w:szCs w:val="28"/>
        </w:rPr>
        <w:t>人合作完成 “装配式</w:t>
      </w:r>
      <w:r>
        <w:rPr>
          <w:rFonts w:hint="eastAsia" w:ascii="仿宋_GB2312" w:hAnsi="仿宋_GB2312" w:eastAsia="仿宋_GB2312" w:cs="仿宋_GB2312"/>
          <w:szCs w:val="28"/>
          <w:lang w:val="en-US" w:eastAsia="zh-CN"/>
        </w:rPr>
        <w:t>建筑</w:t>
      </w:r>
      <w:r>
        <w:rPr>
          <w:rFonts w:hint="eastAsia" w:ascii="仿宋_GB2312" w:hAnsi="仿宋_GB2312" w:eastAsia="仿宋_GB2312" w:cs="仿宋_GB2312"/>
          <w:szCs w:val="28"/>
          <w:lang w:eastAsia="zh-CN"/>
        </w:rPr>
        <w:t>构件</w:t>
      </w:r>
      <w:r>
        <w:rPr>
          <w:rFonts w:hint="eastAsia" w:ascii="仿宋_GB2312" w:hAnsi="仿宋_GB2312" w:eastAsia="仿宋_GB2312" w:cs="仿宋_GB2312"/>
          <w:szCs w:val="28"/>
          <w:lang w:val="en-US" w:eastAsia="zh-CN"/>
        </w:rPr>
        <w:t>安装赛项灌浆</w:t>
      </w:r>
      <w:r>
        <w:rPr>
          <w:rFonts w:hint="eastAsia" w:ascii="仿宋_GB2312" w:hAnsi="仿宋_GB2312" w:eastAsia="仿宋_GB2312" w:cs="仿宋_GB2312"/>
          <w:szCs w:val="28"/>
        </w:rPr>
        <w:t>”，分</w:t>
      </w:r>
      <w:r>
        <w:rPr>
          <w:rFonts w:hint="eastAsia" w:ascii="仿宋_GB2312" w:hAnsi="仿宋_GB2312" w:eastAsia="仿宋_GB2312" w:cs="仿宋_GB2312"/>
          <w:szCs w:val="28"/>
          <w:lang w:val="en-US" w:eastAsia="zh-CN"/>
        </w:rPr>
        <w:t>值</w:t>
      </w:r>
      <w:r>
        <w:rPr>
          <w:rFonts w:hint="eastAsia" w:ascii="仿宋_GB2312" w:hAnsi="仿宋_GB2312" w:eastAsia="仿宋_GB2312" w:cs="仿宋_GB2312"/>
          <w:szCs w:val="28"/>
        </w:rPr>
        <w:t>为100分</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该</w:t>
      </w:r>
      <w:r>
        <w:rPr>
          <w:rFonts w:hint="eastAsia" w:ascii="仿宋_GB2312" w:hAnsi="仿宋_GB2312" w:eastAsia="仿宋_GB2312" w:cs="仿宋_GB2312"/>
          <w:szCs w:val="28"/>
        </w:rPr>
        <w:t>环节加权系数</w:t>
      </w:r>
      <w:r>
        <w:rPr>
          <w:rFonts w:hint="eastAsia" w:ascii="仿宋_GB2312" w:hAnsi="仿宋_GB2312" w:eastAsia="仿宋_GB2312" w:cs="仿宋_GB2312"/>
          <w:color w:val="000000"/>
          <w:kern w:val="0"/>
          <w:sz w:val="28"/>
          <w:szCs w:val="28"/>
          <w:lang w:val="en-US" w:eastAsia="zh-CN" w:bidi="ar"/>
        </w:rPr>
        <w:t>为0.35 。</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5、工位示意图</w:t>
      </w:r>
      <w:r>
        <w:drawing>
          <wp:inline distT="0" distB="0" distL="114300" distR="114300">
            <wp:extent cx="6041390" cy="3546475"/>
            <wp:effectExtent l="0" t="0" r="1651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041390" cy="3546475"/>
                    </a:xfrm>
                    <a:prstGeom prst="rect">
                      <a:avLst/>
                    </a:prstGeom>
                    <a:noFill/>
                    <a:ln>
                      <a:noFill/>
                    </a:ln>
                  </pic:spPr>
                </pic:pic>
              </a:graphicData>
            </a:graphic>
          </wp:inline>
        </w:drawing>
      </w:r>
    </w:p>
    <w:p>
      <w:pPr>
        <w:keepNext w:val="0"/>
        <w:keepLines w:val="0"/>
        <w:widowControl/>
        <w:numPr>
          <w:ilvl w:val="0"/>
          <w:numId w:val="3"/>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竞赛任务要求</w:t>
      </w:r>
    </w:p>
    <w:p>
      <w:pPr>
        <w:keepNext w:val="0"/>
        <w:keepLines w:val="0"/>
        <w:widowControl/>
        <w:numPr>
          <w:ilvl w:val="0"/>
          <w:numId w:val="0"/>
        </w:numPr>
        <w:suppressLineNumbers w:val="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工位示意图中灌注墙尺寸为：1200x660x200mm（长x高x厚），1、2、3号孔为一仓，4、5、6号孔为一仓，选手按设计要求选C30外墙板，按《规范》灌浆如下图所示：</w:t>
      </w:r>
    </w:p>
    <w:p>
      <w:pPr>
        <w:keepNext w:val="0"/>
        <w:keepLines w:val="0"/>
        <w:widowControl/>
        <w:numPr>
          <w:ilvl w:val="0"/>
          <w:numId w:val="0"/>
        </w:numPr>
        <w:suppressLineNumbers w:val="0"/>
        <w:jc w:val="center"/>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5789930" cy="6663690"/>
            <wp:effectExtent l="0" t="0" r="1270" b="381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5789930" cy="6663690"/>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四、竞赛注意事项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灌浆施工前，应对已完成结构的强度、外观质量、尺寸进行检查；并应对预制构件的砼强度及预制构件和配件的型号、规格、数量等进行检查；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2、灌浆施工前，应清洁接合面，并进行测量放线，设置构件安装定位标识；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3、灌浆施工前，应复核构件灌浆孔位及临时支撑方案等；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5、吊装就位后，应及时校准并采取临时固定措施；</w:t>
      </w:r>
    </w:p>
    <w:p>
      <w:pPr>
        <w:keepNext w:val="0"/>
        <w:keepLines w:val="0"/>
        <w:widowControl/>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6、选手完成后必须恢复工位、清理现场，在完成全部任务要求的前提下现场裁判确认提前完成时间量。未全部完成任务而提前离场的不计算时间提前量。</w:t>
      </w:r>
    </w:p>
    <w:p>
      <w:pPr>
        <w:pStyle w:val="14"/>
        <w:rPr>
          <w:rFonts w:hint="eastAsia" w:ascii="仿宋_GB2312" w:hAnsi="仿宋_GB2312" w:eastAsia="仿宋_GB2312" w:cs="仿宋_GB2312"/>
          <w:szCs w:val="28"/>
        </w:rPr>
      </w:pPr>
      <w:r>
        <w:rPr>
          <w:rFonts w:hint="eastAsia" w:ascii="仿宋_GB2312" w:hAnsi="仿宋_GB2312" w:eastAsia="仿宋_GB2312" w:cs="仿宋_GB2312"/>
          <w:szCs w:val="28"/>
        </w:rPr>
        <w:t xml:space="preserve">                        </w:t>
      </w:r>
    </w:p>
    <w:p>
      <w:pPr>
        <w:pStyle w:val="14"/>
        <w:rPr>
          <w:rFonts w:hint="eastAsia" w:ascii="仿宋_GB2312" w:hAnsi="仿宋_GB2312" w:eastAsia="仿宋_GB2312" w:cs="仿宋_GB2312"/>
          <w:szCs w:val="28"/>
        </w:rPr>
      </w:pPr>
    </w:p>
    <w:p>
      <w:pPr>
        <w:pStyle w:val="14"/>
        <w:rPr>
          <w:rFonts w:hint="eastAsia"/>
          <w:szCs w:val="28"/>
        </w:rPr>
      </w:pPr>
    </w:p>
    <w:p>
      <w:pPr>
        <w:pStyle w:val="14"/>
        <w:rPr>
          <w:rFonts w:hint="eastAsia"/>
          <w:szCs w:val="28"/>
        </w:rPr>
      </w:pPr>
    </w:p>
    <w:p>
      <w:pPr>
        <w:pStyle w:val="14"/>
        <w:rPr>
          <w:szCs w:val="28"/>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IDÑ˛">
    <w:altName w:val="Cambria"/>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3NzVlODE2OGYwMTNmMzBlYTRkMGQwNDg5NDhmNDg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2573156"/>
    <w:rsid w:val="135D370D"/>
    <w:rsid w:val="158433EB"/>
    <w:rsid w:val="16784454"/>
    <w:rsid w:val="16BF11DD"/>
    <w:rsid w:val="18B773FA"/>
    <w:rsid w:val="1A25509E"/>
    <w:rsid w:val="1A554F9A"/>
    <w:rsid w:val="1A5C29C2"/>
    <w:rsid w:val="1B651DA3"/>
    <w:rsid w:val="1C645914"/>
    <w:rsid w:val="1FB1776E"/>
    <w:rsid w:val="202969ED"/>
    <w:rsid w:val="20A51A2D"/>
    <w:rsid w:val="215C64E4"/>
    <w:rsid w:val="233C2774"/>
    <w:rsid w:val="244B6568"/>
    <w:rsid w:val="26535F67"/>
    <w:rsid w:val="274E68CF"/>
    <w:rsid w:val="28C26FAC"/>
    <w:rsid w:val="2BB46F1D"/>
    <w:rsid w:val="2C345BA8"/>
    <w:rsid w:val="2FA054F8"/>
    <w:rsid w:val="300703B5"/>
    <w:rsid w:val="309B0CAA"/>
    <w:rsid w:val="365D1558"/>
    <w:rsid w:val="37756932"/>
    <w:rsid w:val="37BB49E2"/>
    <w:rsid w:val="38FA4476"/>
    <w:rsid w:val="39E50740"/>
    <w:rsid w:val="3CC05722"/>
    <w:rsid w:val="3D866913"/>
    <w:rsid w:val="40B01861"/>
    <w:rsid w:val="415657AA"/>
    <w:rsid w:val="42F3604A"/>
    <w:rsid w:val="42FC76D0"/>
    <w:rsid w:val="433A3380"/>
    <w:rsid w:val="436D36BB"/>
    <w:rsid w:val="43A20BAB"/>
    <w:rsid w:val="4714323A"/>
    <w:rsid w:val="47615D53"/>
    <w:rsid w:val="48270F31"/>
    <w:rsid w:val="49C9149B"/>
    <w:rsid w:val="4B971718"/>
    <w:rsid w:val="4BE331DB"/>
    <w:rsid w:val="4D517835"/>
    <w:rsid w:val="4DBB4E9D"/>
    <w:rsid w:val="4E3D039E"/>
    <w:rsid w:val="4F310779"/>
    <w:rsid w:val="526B3F2A"/>
    <w:rsid w:val="5358625C"/>
    <w:rsid w:val="53E75832"/>
    <w:rsid w:val="54CE3AA7"/>
    <w:rsid w:val="563A6F01"/>
    <w:rsid w:val="59335998"/>
    <w:rsid w:val="5B4236BA"/>
    <w:rsid w:val="5E887250"/>
    <w:rsid w:val="5F4C0F87"/>
    <w:rsid w:val="666B2E92"/>
    <w:rsid w:val="677D5B76"/>
    <w:rsid w:val="67E24A1A"/>
    <w:rsid w:val="68677928"/>
    <w:rsid w:val="6B2036AC"/>
    <w:rsid w:val="6BCF0863"/>
    <w:rsid w:val="6C1D139E"/>
    <w:rsid w:val="6E9604DE"/>
    <w:rsid w:val="6F263E64"/>
    <w:rsid w:val="70C80A99"/>
    <w:rsid w:val="73BE7FEC"/>
    <w:rsid w:val="788B5054"/>
    <w:rsid w:val="79736ACF"/>
    <w:rsid w:val="79D169FB"/>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beforeLines="0" w:beforeAutospacing="0" w:after="290" w:afterLines="0" w:afterAutospacing="0" w:line="240" w:lineRule="auto"/>
      <w:ind w:left="864" w:hanging="864"/>
      <w:outlineLvl w:val="3"/>
    </w:pPr>
    <w:rPr>
      <w:rFonts w:ascii="Arial" w:hAnsi="Arial" w:eastAsia="仿宋" w:cs="Arial"/>
      <w:b/>
      <w:snapToGrid w:val="0"/>
      <w:color w:val="000000"/>
      <w:kern w:val="0"/>
      <w:sz w:val="28"/>
      <w:szCs w:val="21"/>
    </w:rPr>
  </w:style>
  <w:style w:type="character" w:default="1" w:styleId="12">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Char"/>
    <w:basedOn w:val="12"/>
    <w:link w:val="4"/>
    <w:semiHidden/>
    <w:qFormat/>
    <w:uiPriority w:val="99"/>
    <w:rPr>
      <w:rFonts w:ascii="宋体" w:eastAsia="宋体"/>
      <w:sz w:val="18"/>
      <w:szCs w:val="18"/>
    </w:rPr>
  </w:style>
  <w:style w:type="character" w:customStyle="1" w:styleId="16">
    <w:name w:val="页眉 Char"/>
    <w:basedOn w:val="12"/>
    <w:link w:val="6"/>
    <w:qFormat/>
    <w:uiPriority w:val="99"/>
    <w:rPr>
      <w:kern w:val="2"/>
      <w:sz w:val="18"/>
      <w:szCs w:val="18"/>
    </w:rPr>
  </w:style>
  <w:style w:type="character" w:customStyle="1" w:styleId="17">
    <w:name w:val="页脚 Char"/>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Char"/>
    <w:basedOn w:val="12"/>
    <w:link w:val="7"/>
    <w:qFormat/>
    <w:uiPriority w:val="99"/>
    <w:rPr>
      <w:rFonts w:cs="Times New Roman"/>
    </w:rPr>
  </w:style>
  <w:style w:type="character" w:customStyle="1" w:styleId="20">
    <w:name w:val="Subtle Emphasis"/>
    <w:basedOn w:val="12"/>
    <w:qFormat/>
    <w:uiPriority w:val="19"/>
    <w:rPr>
      <w:i/>
      <w:iCs/>
    </w:rPr>
  </w:style>
  <w:style w:type="character" w:customStyle="1" w:styleId="21">
    <w:name w:val="批注文字 Char"/>
    <w:basedOn w:val="12"/>
    <w:link w:val="3"/>
    <w:semiHidden/>
    <w:qFormat/>
    <w:uiPriority w:val="99"/>
    <w:rPr>
      <w:kern w:val="2"/>
      <w:sz w:val="21"/>
      <w:szCs w:val="24"/>
    </w:rPr>
  </w:style>
  <w:style w:type="character" w:customStyle="1" w:styleId="22">
    <w:name w:val="批注主题 Char"/>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7669</Words>
  <Characters>8638</Characters>
  <Lines>34</Lines>
  <Paragraphs>9</Paragraphs>
  <TotalTime>2</TotalTime>
  <ScaleCrop>false</ScaleCrop>
  <LinksUpToDate>false</LinksUpToDate>
  <CharactersWithSpaces>9265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张国华</cp:lastModifiedBy>
  <cp:lastPrinted>2022-01-20T07:20:00Z</cp:lastPrinted>
  <dcterms:modified xsi:type="dcterms:W3CDTF">2023-04-15T15:07:41Z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B5006516D21B43859F0665906BD28D68_12</vt:lpwstr>
  </property>
</Properties>
</file>